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png" PartName="/word/media/document_image_rId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000125" cy="89535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b w:val="true"/>
          <w:bCs w:val="true"/>
          <w:sz w:val="36"/>
          <w:szCs w:val="36"/>
        </w:rPr>
        <w:t>微量磅秤系统数据Http API接口说明</w:t>
      </w:r>
    </w:p>
    <w:p>
      <w:pPr>
        <w:pBdr>
          <w:top w:val="single" w:color="000000" w:sz="32" w:space="1"/>
        </w:pBdr>
        <w:rPr>
          <w:rFonts w:hint="eastAsia"/>
        </w:rPr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接口URL定义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查询数据默认接口URL为 </w:t>
      </w:r>
      <w:r>
        <w:rPr>
          <w:rFonts w:ascii="微软雅黑" w:hAnsi="微软雅黑" w:eastAsia="微软雅黑"/>
          <w:b w:val="true"/>
          <w:bCs w:val="true"/>
          <w:color w:val="0070c0"/>
          <w:sz w:val="24"/>
          <w:szCs w:val="24"/>
        </w:rPr>
        <w:t>http://192.168.99.202:8000/aws/api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b w:val="true"/>
          <w:bCs w:val="true"/>
          <w:color w:val="0070c0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写入数据默认接口URL为</w:t>
      </w:r>
      <w:r>
        <w:rPr>
          <w:rFonts w:ascii="Microsoft YaHei" w:hAnsi="Microsoft YaHei" w:eastAsia="Microsoft YaHei"/>
          <w:b w:val="true"/>
          <w:bCs w:val="true"/>
          <w:color w:val="0070c0"/>
          <w:sz w:val="24"/>
          <w:szCs w:val="24"/>
          <w:shd w:val="clear"/>
        </w:rPr>
        <w:t xml:space="preserve"> http://192.168.99.202:8000/aws/api/wr</w:t>
      </w:r>
    </w:p>
    <w:p>
      <w:pPr>
        <w:pBdr/>
        <w:snapToGrid w:val="false"/>
        <w:spacing/>
        <w:ind w:firstLine="480"/>
        <w:jc w:val="left"/>
        <w:rPr>
          <w:rFonts w:ascii="Microsoft YaHei" w:hAnsi="Microsoft YaHei" w:eastAsia="Microsoft YaHei"/>
        </w:rPr>
      </w:pPr>
      <w:r>
        <w:rPr>
          <w:rFonts w:ascii="Microsoft YaHei" w:hAnsi="Microsoft YaHei" w:eastAsia="Microsoft YaHei"/>
          <w:b w:val="true"/>
          <w:bCs w:val="true"/>
          <w:color w:val="0070c0"/>
          <w:sz w:val="24"/>
          <w:szCs w:val="24"/>
          <w:shd w:val="clear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(如果有变化会在安装时特别说明，以下内容均以此url举例)</w:t>
      </w: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查询工单数据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2.1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http://192.168.99.202:8000/aws/api?option=getWorkOrder&amp;plant=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&amp;machineId=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&amp;workOrderNo=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&amp;formulaCode=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FORMULACODE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&amp;orderDateFrom=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ORDERDATEFROM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&amp;orderDateTo=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ORDERDATETO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&amp;orderState=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ORDERSTATE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请求方法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HTTP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GET</w:t>
      </w:r>
    </w:p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color w:val="000000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color w:val="ffffff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API标识, 此请求固定为 getWorkOrder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工厂别，可为空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工单编号，可为空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formulaCode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配方编号，可为空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orderDateFrom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起始日期，可为空，格式：yyyyMMdd，如20190301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orderDateTo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截止日期，可为空，格式：yyyyMMdd，如20190302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orderState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工单状态，可为空，1:未生产  2:生产中  3:已完工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如查询多个状态，中间用","分隔，如: 1,2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2.2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150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[{"WorkOrderNo":"A11180211001",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"OrderDate":"2018-02-11",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"FormulaCode":"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Test001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"OrderBatchNum":1,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"OrderWeight":0.2000,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"FinishBatchNum":0,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"FinishWeight":0.0000,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"StartTime":"",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"FinishTime":"",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	"OrderState":1},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{"WorkOrderNo":"A11180113001",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"OrderDate":"2018-01-13",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"FormulaCode":"Test002",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"OrderBatchNum":3,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"OrderWeight":0.8970,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"FinishBatchNum":3,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"FinishWeight":0.8975,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"StartTime":"2018-01-13 08:19:23",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"FinishTime":"2018-01-13 08:20:02",</w:t>
            </w:r>
          </w:p>
          <w:p>
            <w:pPr>
              <w:pBdr/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 xml:space="preserve"> "OrderState":3}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af5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"success":0,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"rtnmsg":"Invalid parameter:option",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af5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结果内容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工单编号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OrderDate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工单日期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配方编号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OrderBatchNum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批次数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OrderWeight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工单总重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FinishBatchNum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完工批次数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FinishWeight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完工重量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StartTime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生产开始时间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FinishTime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生产结束时间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OrderState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工单状态，1:未生产 2:生产中 3:已完工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查询称量记录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3.1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http://192.168.99.202:8000/aws/api?option=getWeighingRecord&amp;plant=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&amp;machineId=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&amp;workOrderNo=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&amp;formulaCode=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FORMULACODE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&amp;weighTimeFrom=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WEIGHTIMEFROM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&amp;weighTimeTo=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WEIGHTIMETO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此请求固定为 getW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eighingRecord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weighTimeFrom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时间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2152000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weighTimeTo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时间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173000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3.2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{"WorkOrderNo":"A11180110001",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"FormulaCode":"Test001",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"MaterialNo":"A01",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"WeighingValue":0.0,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"WeighTime":"2018-01-10 11:28:00",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"IsError":0},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{"WorkOrderNo":"A11180110001",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"FormulaCode":"Test001",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"MaterialNo":"A03",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"WeighingValue":0.0,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"WeighTime":"2018-01-10 11:28:00",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"IsError":0}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]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Batch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批次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MaterialNo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原料编号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WeighingValue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计量重量, 单位:kg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WeighTime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计量时间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IsError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计量是否出错, 0:未出错 1:出错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查询报警记录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4.1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http://192.168.99.202:8000/aws/api?option=getAlarmLog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&amp;plant=</w:t>
            </w:r>
            <w:r>
              <w:rPr>
                <w:rFonts w:ascii="微软雅黑" w:hAnsi="微软雅黑" w:eastAsia="微软雅黑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&amp;alarmGroup=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ALARMGROUP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&amp;alarmTimeFrom=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ALARMTIMEFROM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&amp;alarmTimeTo=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ALARMTIMETO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此请求固定为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getAlarmLog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alarmGroup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报警类别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时间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如20190302152000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时间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如20190302173000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4.2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{"AlarmGroup":"E1",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"AlarmGroupText":"磅秤计量异常",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"AlarmCode":"70",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"AlarmMsg":"NO.01桶低料位",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"AlarmTime":"2018-12-21 10:36:47",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"WorkOrderNo":"",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"Batch":0},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{"AlarmGroup":"E1",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"AlarmGroupText":"磅秤计量异常",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"AlarmCode":"70",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"AlarmMsg":"NO.02桶低料位",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"AlarmTime":"2018-12-21 10:36:47",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"WorkOrderNo":"",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"Batch":0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AlarmGroup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报警分组编号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AlarmGroupText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  <w:shd w:val="clear"/>
              </w:rPr>
              <w:t>报警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分组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AlarmCode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, Microsoft YaHei, sourcecode, sans-serif" w:hAnsi="Microsoft YaHei, Microsoft YaHei, sourcecode, sans-serif" w:eastAsia="Microsoft YaHei, Microsoft YaHei, sourcecode, sans-serif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, Microsoft YaHei, sourcecode, sans-serif" w:hAnsi="Microsoft YaHei, Microsoft YaHei, sourcecode, sans-serif" w:eastAsia="Microsoft YaHei, Microsoft YaHei, sourcecode, sans-serif"/>
                <w:color w:val="000000"/>
                <w:sz w:val="24"/>
                <w:szCs w:val="24"/>
                <w:shd w:val="clear"/>
              </w:rPr>
              <w:t>内容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AlarmMsg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, Microsoft YaHei, sourcecode, sans-serif" w:hAnsi="Microsoft YaHei, Microsoft YaHei, sourcecode, sans-serif" w:eastAsia="Microsoft YaHei, Microsoft YaHei, sourcecode, sans-serif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AlarmTime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, Microsoft YaHei, sourcecode, sans-serif" w:hAnsi="Microsoft YaHei, Microsoft YaHei, sourcecode, sans-serif" w:eastAsia="Microsoft YaHei, Microsoft YaHei, sourcecode, sans-serif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发生时间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对应工单编号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Batch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对应批次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依条码追溯生产记录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5.1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http://192.168.99.202:8000/aws/api?option=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g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etTraceBackData&amp;plant=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B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AR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CODE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此请求固定为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getTraceBackData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完工条码编号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5.2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[{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"WorkOrderNo":"A11180110006",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"BatchWeight":0.1705,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"Barcode":"A1118011000610001",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"MaterialNo":"A01",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"WeighingValue":0.0805,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"MaterialBarcode":"A0101",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"LotNo":"180105P03",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"WeighTime":"2018-01-10 13:32:39"},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{"WorkOrderNo":"A11180110006",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"BatchWeight":0.1705,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"Barcode":"A1118011000610001",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"MaterialNo":"A02",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"WeighingValue":0.0900,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"MaterialBarcode":"",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"LotNo":"",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"WeighTime":"2018-01-10 13:32:39"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Batch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批次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BatchWeight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批次重量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Ba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rcode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批次条码编号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MaterialNo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原料编号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WeighingValue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称量重量(kg)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MaterialBarcod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原料条码编号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LotNo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原料生产批号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WeighTime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称量时间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查询原料耗用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6.1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http://192.168.99.202:8000/aws/api?option=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g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etMaterialConsumption&amp;plant=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workOrderNo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WORK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O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R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DE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RNO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materialNo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MATERIALNO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consTimeFrom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CONSTIMEFROM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consTimeTo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CONSTIMETO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此请求固定为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getMaterialConsumption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编号，可为空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原料编号，可为空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consTimeFrom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起始日期，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可为空，格式：yyyyMMdd，如20190301</w:t>
            </w:r>
          </w:p>
        </w:tc>
      </w:tr>
      <w:tr>
        <w:trPr>
          <w:trHeight w:val="34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consTimeTo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日期，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可为空，格式：yyyyMMdd，如2019030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6.2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[{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"ConsumptionTime":"2018-1-10",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"MaterialNo":"A01-A01-1",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"WeighingValue":0.0115},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{"ConsumptionTime":"2018-1-10",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"MaterialNo":"A02-A02-1",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"WeighingValue":0.0205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ConsumptionTime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耗用日期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MaterialNo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原料编号/名称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WeighingValue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耗用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重量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(kg)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写入原料基本资料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7.1 新增原料基本资料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API标识, 此操作固定为 addParts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工厂别，可为空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原料编号，不可为空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原料名称，不可为空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partClass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varchar(1)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原料类别，可为空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单位条码重量(kg)，可为空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{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"option":"addParts",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"machineId":1,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"partNo":"ZNO01",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"partName":"氧化锌01",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"partClass":"",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"unitBarcodeWeight":25.0</w:t>
            </w:r>
          </w:p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345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7.2 修改原料基本资料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Parts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partClass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原料类别，可为空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单位条码重量(kg)，可为空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"option":"updateParts",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"partName":"氧化锌01",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"partClass":"",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"unitBarcodeWeight":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.0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7.3 删除原料基本资料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deleteParts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"option":"deleteParts",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"partNo":"ZNO01"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写入原料条码数据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8.1 新增原料条码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ddMaterialBarcode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3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原料条码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单位条码重量(kg)，不可为空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expirationDate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有效期，不可为空，格式: yyyy-MM-dd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如: 2019-09-20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lotNo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生产批号，可为空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"option":"addMaterialBarcode",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barcode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":"ZNO190420000001"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materialNo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":"ZNO01"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unitBarcodeWeight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":25.0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expirationDate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":"2019-09-20"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lotNo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":""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 xml:space="preserve">8.2 修改原料条码 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原料条码，不可为空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单位条码重量(kg)，不可为空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expirationDate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有效期，不可为空，格式: yyyy-MM-dd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如: 2019-09-20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lotNo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生产批号，可为空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"option":"updateMaterialBarcode",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barcode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":"ZNO190420000001"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materialNo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":"ZNO01"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unitBarcodeWeight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.0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expirationDate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":"2019-09-2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lotNo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":""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8.3 删除原料条码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teMaterialBarcode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原料条码，不可为空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"option":"deleteMaterialBarcode",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barcode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":"ZNO190420000001"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写入配方数据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9.1 新增配方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add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原料重量，单位: kg，不可为空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"option":"addFormula",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"formulaName":"配方01",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"FormulaEntryList":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[{"MaterialNo":"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M01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"MaterialWeight":0.25},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M02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"MaterialWeight":0.36}]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9.2 修改配方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原料重量，单位: kg，不可为空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"option":"updateFormula",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"formulaName":"配方01",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"FormulaEntryList":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[{"MaterialNo":"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M01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 "MaterialWeight":0.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{"MaterialNo":"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 "MaterialWeight":0.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4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9.3 删除配方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"option":"deleteFormula",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"formulaCode":"F001"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写入工单数据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10.1 新增工单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workOrderDate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工单日期，不可为空，格式: yyyy-MM-dd，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如: 2019-04-22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工单批次，不可为空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addWorkOrder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"workOrderNo":"W0001",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"workOrderDate":"2019-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0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4-22",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F001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10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10.2 修改工单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工单日期，不可为空，格式: yyyy-MM-dd，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如: 2019-04-2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工单批次，不可为空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"option":"updateWorkOrder",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"workOrderNo":"W0001",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"workOrderDate":"2019-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4-2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3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"batch":1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10.3 删除工单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teWorkOrder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"option":"deleteWorkOrder",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"workOrderNo":"W0001"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数据自动上传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客户提供接收数据Http API的url，机台自动向此url上传称量数据。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上传方法: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</w:pP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上传数据字段说明: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字段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ShiftName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班别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FormulaWeight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配方总重,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OrderState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工单状态, 1:未生产 2:生产中 3:已完工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OrderBatch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工单计划批次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当前批次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BatchWeight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当前批次重量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料号条码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MfgTime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生产时间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原料名称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配方原料重量,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WeighingValue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称量值,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MaterialBarcode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追溯的原料条码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LotNo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追溯的原料批号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追溯的原料重量,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AlarmCode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报警编号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AlarmMsg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报警内容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AlarmTime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报警时间</w:t>
            </w:r>
          </w:p>
        </w:tc>
      </w:tr>
    </w:tbl>
    <w:p>
      <w:pPr>
        <w:snapToGrid w:val="false"/>
      </w:pP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上传数据示例如下: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"Plant":"A1",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"ShiftName":"早",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"WorkOrderNo":"A11190715001",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"OrderDate":"2019-07-15",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"FormulaCode":"F0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1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"FormulaName":"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配方01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"FormulaWeight":0.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64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"OrderState":3,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"OrderBatch":10,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"Batch":4,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"BatchWeight":0.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6405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"Barcode":"A1119071500110004",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"MfgTime":"2019-07-15 11:40:59",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"WorkOrderFormula":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{"MaterialNo":"M01","MaterialName":"原料01","MaterialWeight":0.4800},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{"MaterialNo":"M02",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"MaterialName":"原料02",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"MaterialWeight":0.1600}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"WeighingRecordList":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{"MaterialNo":"M01",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"MaterialName":"原料01","WeighingValue":0.4810,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"MaterialTracedData":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    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{"MaterialBarcode":"190529003","Weight":0.379,"LotNo":"L1905037"},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    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{"MaterialBarcode":"190528091",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"Weight":0.102,"LotNo":"L1905021"}]},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{"MaterialNo":"M02","MaterialName":"原料02","WeighingValue":0.1595,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"MaterialTracedData":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{"MaterialBarcode":"190519023",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"Weight":0.1595,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"LotNo":"L19050266"}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]}],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"AlarmList":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[{"AlarmCode":"AD001",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"AlarmMsg":"NO.0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7 Platform motor overload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"AlarmTime":"2019-07-15 11:34:21"}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API option参数汇总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3060"/>
        <w:gridCol w:w="3060"/>
        <w:gridCol w:w="4020"/>
      </w:tblGrid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dc2e5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b w:val="true"/>
                <w:bCs w:val="true"/>
                <w:sz w:val="24"/>
                <w:szCs w:val="24"/>
              </w:rPr>
            </w:r>
            <w:r>
              <w:rPr>
                <w:rFonts w:ascii="微软雅黑" w:hAnsi="微软雅黑" w:eastAsia="微软雅黑"/>
                <w:b w:val="true"/>
                <w:bCs w:val="true"/>
                <w:sz w:val="24"/>
                <w:szCs w:val="24"/>
              </w:rPr>
              <w:t>API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dc2e5"/>
            <w:vAlign w:val="top"/>
          </w:tcPr>
          <w:p>
            <w:pPr>
              <w:snapToGrid w:val="false"/>
              <w:spacing/>
              <w:ind/>
              <w:jc w:val="center"/>
            </w:pPr>
            <w:r>
              <w:rPr>
                <w:rFonts w:ascii="微软雅黑" w:hAnsi="微软雅黑" w:eastAsia="微软雅黑"/>
                <w:b w:val="true"/>
                <w:bCs w:val="true"/>
                <w:sz w:val="24"/>
                <w:szCs w:val="24"/>
              </w:rPr>
            </w:r>
            <w:r>
              <w:rPr>
                <w:rFonts w:ascii="微软雅黑" w:hAnsi="微软雅黑" w:eastAsia="微软雅黑"/>
                <w:b w:val="true"/>
                <w:bCs w:val="true"/>
                <w:sz w:val="24"/>
                <w:szCs w:val="24"/>
              </w:rPr>
              <w:t>Option</w:t>
            </w:r>
          </w:p>
        </w:tc>
      </w:tr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查询工单数据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getWorkOrder</w:t>
            </w:r>
          </w:p>
        </w:tc>
      </w:tr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查询称量记录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getWeighingRecord</w:t>
            </w:r>
          </w:p>
        </w:tc>
      </w:tr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查询报警记录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getAlarmLog</w:t>
            </w:r>
          </w:p>
        </w:tc>
      </w:tr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依条码追溯生产记录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getTraceBackData</w:t>
            </w:r>
          </w:p>
        </w:tc>
      </w:tr>
      <w:tr>
        <w:trPr>
          <w:trHeight w:val="345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查询原料耗用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getMaterialConsumption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写入原料基本资料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新增原料基本资料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addParts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修改原料基本资料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updateParts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删除原料基本资料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deleteParts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写入原料条码数据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新增原料条码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addMaterialBarcode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修改原料条码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updateMaterialBarcode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删除原料条码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deleteMaterialBarcode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写入配方数据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新增配方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addFormula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修改配方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updateFormula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删除配方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deleteFormula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写入工单数据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新增工单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addWorkOrder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修改工单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updateWorkOrder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删除工单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deleteWorkOrder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jc w:val="left"/>
      </w:pPr>
      <w:r>
        <w:rPr>
          <w:rFonts w:ascii="微软雅黑" w:hAnsi="微软雅黑" w:eastAsia="微软雅黑"/>
          <w:sz w:val="24"/>
          <w:szCs w:val="24"/>
        </w:rPr>
        <w:t/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6">
    <w:name w:val="heading 6"/>
    <w:basedOn w:val="a"/>
    <w:next w:val="a"/>
    <w:uiPriority w:val="9"/>
    <w:unhideWhenUsed/>
    <w:qFormat/>
    <w:rsid w:val="001C768A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7">
    <w:name w:val="heading 7"/>
    <w:basedOn w:val="a"/>
    <w:next w:val="a"/>
    <w:uiPriority w:val="9"/>
    <w:unhideWhenUsed/>
    <w:qFormat/>
    <w:rsid w:val="001C76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png" Type="http://schemas.openxmlformats.org/officeDocument/2006/relationships/image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